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6.7  ·  ISO 27001 AND GOVERNMENT PROCUREMENT REQUIREMENTS</w:t>
      </w:r>
    </w:p>
    <w:p>
      <w:pPr>
        <w:pStyle w:val="Heading1"/>
        <w:spacing w:after="120"/>
      </w:pPr>
      <w:r>
        <w:rPr>
          <w:rFonts w:ascii="Arial" w:cs="Arial" w:eastAsia="Arial" w:hAnsi="Arial"/>
          <w:b/>
          <w:bCs/>
          <w:color w:val="1B3A5C"/>
          <w:sz w:val="44"/>
          <w:szCs w:val="44"/>
        </w:rPr>
        <w:t xml:space="preserve">ISO 27001 and Government Procurement Requirements</w:t>
      </w:r>
    </w:p>
    <w:p>
      <w:pPr>
        <w:spacing w:after="60"/>
      </w:pPr>
      <w:r>
        <w:rPr>
          <w:rFonts w:ascii="Georgia" w:cs="Georgia" w:eastAsia="Georgia" w:hAnsi="Georgia"/>
          <w:i/>
          <w:iCs/>
          <w:color w:val="4B5563"/>
          <w:sz w:val="24"/>
          <w:szCs w:val="24"/>
        </w:rPr>
        <w:t xml:space="preserve">How ISO 27001 certification strengthens eligibility, credibility, and competitive positioning when bidding for Indonesian government and public sector contracts — covering the procurement landscape by channel, the post-PDNS shift in government security requirements, technical qualification criteria by sector, the tender submission guide with evidence packaging, government data handling requirements, and TKDN domestic content considerations.</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Indonesian government procurement of information technology and security services is undergoing a structural shift in its security requirements. Before 2024, security criteria in government ICT tenders were often formulaic — a checklist item that vendors satisfied with self-declarations or generic security policy documents. After the 2024 PDNS (Pusat Data Nasional Sementara) ransomware incident that disrupted over 200 government agencies, the Indonesian government elevated vendor security qualification to a genuine procurement priority. ISO 27001 certification has become the most widely recognized credential for demonstrating independent, third-party verified security management capability to government procurement evaluators.</w:t>
      </w:r>
    </w:p>
    <w:p>
      <w:pPr>
        <w:spacing w:after="80"/>
      </w:pPr>
      <w:r>
        <w:t xml:space="preserve"/>
      </w:r>
    </w:p>
    <w:p>
      <w:pPr>
        <w:spacing w:after="160" w:line="320"/>
        <w:jc w:val="both"/>
      </w:pPr>
      <w:r>
        <w:rPr>
          <w:rFonts w:ascii="Georgia" w:cs="Georgia" w:eastAsia="Georgia" w:hAnsi="Georgia"/>
          <w:color w:val="111827"/>
          <w:sz w:val="22"/>
          <w:szCs w:val="22"/>
        </w:rPr>
        <w:t xml:space="preserve">The commercial significance of this shift is substantial. Indonesian government ICT spending exceeds IDR 25 trillion annually across central government ministries, state-owned enterprises, and regional governments. Vendors with ISO 27001 certification from an IAF-member accredited certification body now have a genuine competitive advantage in this market — not just as a qualification checkbox, but as a differentiating credential that scores points in technical evaluation, reduces procurement risk from the government's perspective, and enables participation in tenders that specify IS certification as a mandatory qualifier.</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government procurement landscape for technology vendors: the procurement channels and how ISO 27001 is recognized in each, the post-PDNS context that elevated security requirements, technical qualification criteria by contract category, the evidence package structure for effective tender submission, government data handling requirements that the ISMS must address, and the TKDN domestic content framework that runs alongside ISO 27001 in government procurement.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Indonesian Government Procurement Landscape</w:t>
      </w:r>
    </w:p>
    <w:p>
      <w:pPr>
        <w:spacing w:after="80"/>
      </w:pPr>
      <w:r>
        <w:t xml:space="preserve"/>
      </w:r>
    </w:p>
    <w:p>
      <w:pPr>
        <w:spacing w:after="160" w:line="320"/>
        <w:jc w:val="both"/>
      </w:pPr>
      <w:r>
        <w:rPr>
          <w:rFonts w:ascii="Georgia" w:cs="Georgia" w:eastAsia="Georgia" w:hAnsi="Georgia"/>
          <w:color w:val="111827"/>
          <w:sz w:val="22"/>
          <w:szCs w:val="22"/>
        </w:rPr>
        <w:t xml:space="preserve">Government procurement in Indonesia flows through five primary channels — each with different qualification frameworks, security expectations, and ISO 27001 recognition levels. Understanding which channel applies to the target procurement shapes the competitive strategy: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800"/>
        <w:gridCol w:w="2560"/>
        <w:gridCol w:w="20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Procurement channel</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Description</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 relevance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Action</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LKPP (Lembaga Kebijakan Pengadaan Barang/Jasa Pemerintah)</w:t>
            </w:r>
          </w:p>
        </w:tc>
        <w:tc>
          <w:tcPr>
            <w:tcW w:type="auto" w:w="2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The national government procurement policy body. Manages the SIKAP (Sistem Informasi Kinerja Penyedia) vendor performance database and the e-procurement platform (SIPLah for schools, LPSE for government). LKPP guidelines determine vendor qualification criteria across all central government procurement.</w:t>
            </w:r>
          </w:p>
        </w:tc>
        <w:tc>
          <w:tcPr>
            <w:tcW w:type="auto" w:w="25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LKPP's technical qualification criteria for ICT vendors increasingly reference ISO 27001 or equivalent IS certification as a qualification requirement. LKPP's 2022 guidelines for procurement of strategic ICT systems explicitly list ISO 27001 certification as a preferred vendor attribute for sensitive data handling contracts.</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Register on SIKAP. Ensure ISO 27001 certificate is uploaded and current in the SIKAP vendor profile. Monitor LKPP tender announcements for technical qualification criteria that reference IS certification.</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Kementerian/Lembaga direct procurement (K/L)</w:t>
            </w:r>
          </w:p>
        </w:tc>
        <w:tc>
          <w:tcPr>
            <w:tcW w:type="auto" w:w="28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Direct procurement by central government ministries and agencies for their own IT systems, services, and infrastructure. Each K/L maintains its own procurement unit (ULP) and qualification criteria. High-security ministries (Kemhan, BIN, BSSN, BNPB, Kominfo) have more stringent IS requirements.</w:t>
            </w:r>
          </w:p>
        </w:tc>
        <w:tc>
          <w:tcPr>
            <w:tcW w:type="auto" w:w="25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Technology and security-sensitive ministries increasingly require ISO 27001 certification for vendors handling government data. BSSN's own procurement framework requires IS certification for security-sensitive technology providers.</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Identify target K/L procurement offices. Research qualification criteria for previous tenders in the relevant category. Build relationships with K/L procurement teams — introduce the ISO 27001 certificate as part of a vendor capability presentation before tenders are released.</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BUMN (State-Owned Enterprise) procurement</w:t>
            </w:r>
          </w:p>
        </w:tc>
        <w:tc>
          <w:tcPr>
            <w:tcW w:type="auto" w:w="2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State-owned enterprises (PLN, Pertamina, Telkom, BRI, BNI, Mandiri, and over 100 others) have large ICT procurement budgets and sophisticated vendor qualification processes. BUMN procurement is not covered by LKPP rules — BUMNs follow their own procurement policies.</w:t>
            </w:r>
          </w:p>
        </w:tc>
        <w:tc>
          <w:tcPr>
            <w:tcW w:type="auto" w:w="25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Large BUMNs with digital transformation programs (BRI, Mandiri, Telkom, PLN) have formal vendor security qualification programs that include ISO 27001 certification as a mandatory or strong preference criterion for technology vendors. Bank BRI's vendor security policy, for example, requires ISO 27001 for vendors with access to customer data systems.</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Research target BUMN vendor qualification requirements in the relevant sector. Obtain vendor registration in BUMN procurement portals. Include ISO 27001 certificate with surveillance audit history in vendor capability documentation.</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PDAM, RSUD, regional government procurement</w:t>
            </w:r>
          </w:p>
        </w:tc>
        <w:tc>
          <w:tcPr>
            <w:tcW w:type="auto" w:w="28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Regional government entities — provincial and district governments, regional water utilities (PDAM), regional public hospitals (RSUD), regional universities — procure IT services through regional LPSE (e-procurement) systems under LKPP guidelines but with regional-specific implementation.</w:t>
            </w:r>
          </w:p>
        </w:tc>
        <w:tc>
          <w:tcPr>
            <w:tcW w:type="auto" w:w="25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Regional government health and education digitalization projects frequently reference national security standards. Post-PDNS incident (2024), regional government awareness of vendor security requirements has increased significantly.</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Monitor regional LPSE portals for relevant tenders. Local presence and ISO 27001 certification combination is a strong competitive differentiator in regional government procurement where international security standards adoption is lower.</w:t>
            </w:r>
          </w:p>
        </w:tc>
      </w:tr>
      <w:tr>
        <w:tc>
          <w:tcPr>
            <w:tcW w:type="auto"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Defense and national security procurement</w:t>
            </w:r>
          </w:p>
        </w:tc>
        <w:tc>
          <w:tcPr>
            <w:tcW w:type="auto" w:w="28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Procurement by Kemhan (Ministry of Defense), TNI (military), Polri (police), BIN (intelligence), and BNPB (disaster management). These procurement processes have classified components and stringent domestic and security requirements beyond standard ISO 27001.</w:t>
            </w:r>
          </w:p>
        </w:tc>
        <w:tc>
          <w:tcPr>
            <w:tcW w:type="auto" w:w="25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is a baseline security requirement — necessary but not sufficient. Defense and national security procurement additionally requires security clearances, domestic (TKDN) content requirements, and may require Indonesian Government security classifications beyond ISO 27001 scope.</w:t>
            </w:r>
          </w:p>
        </w:tc>
        <w:tc>
          <w:tcPr>
            <w:tcW w:type="auto" w:w="20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ISO 27001 certification is a prerequisite for participating in defense/national security tender processes — but additional security clearances and domestic content requirements apply. Treat ISO 27001 as the floor, not the ceiling, for this procurement channel.</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SIKAP REGISTRATION IMPERATIVE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SIKAP (Sistem Informasi Kinerja Penyedia) is the national vendor performance database maintained by LKPP. Registration in SIKAP is mandatory for participation in central government procurement — without SIKAP registration, no central government contract can be awarded. The SIKAP profile includes space for certifications including ISO 27001. Uploading a current, valid ISO 27001 certificate to SIKAP makes it visible to all government procurement evaluators who search for qualified vendors in relevant categories. SIKAP registration with ISO 27001 certification is the minimum entry requirement — not a competitive advantage, but absence of registration is a disqualifier.</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Post-PDNS Context: Elevated Security Requirements</w:t>
      </w:r>
    </w:p>
    <w:p>
      <w:pPr>
        <w:spacing w:after="80"/>
      </w:pPr>
      <w:r>
        <w:t xml:space="preserve"/>
      </w:r>
    </w:p>
    <w:p>
      <w:pPr>
        <w:spacing w:after="160" w:line="320"/>
        <w:jc w:val="both"/>
      </w:pPr>
      <w:r>
        <w:rPr>
          <w:rFonts w:ascii="Georgia" w:cs="Georgia" w:eastAsia="Georgia" w:hAnsi="Georgia"/>
          <w:color w:val="111827"/>
          <w:sz w:val="22"/>
          <w:szCs w:val="22"/>
        </w:rPr>
        <w:t xml:space="preserve">The June 2024 ransomware attack on Indonesia's Pusat Data Nasional Sementara (PDNS) — the temporary national data center that hosted services for over 200 government agencies — was one of the most consequential cyberattacks on Indonesian government infrastructure. The attack disabled immigration services, student scholarship applications, and trade licensing systems for weeks, affecting millions of citizens. The incident demonstrated, at national scale, the consequences of inadequate vendor security management in government ICT supply chains.</w:t>
      </w:r>
    </w:p>
    <w:p>
      <w:pPr>
        <w:spacing w:after="80"/>
      </w:pPr>
      <w:r>
        <w:t xml:space="preserve"/>
      </w:r>
    </w:p>
    <w:p>
      <w:pPr>
        <w:spacing w:after="160" w:line="320"/>
        <w:jc w:val="both"/>
      </w:pPr>
      <w:r>
        <w:rPr>
          <w:rFonts w:ascii="Georgia" w:cs="Georgia" w:eastAsia="Georgia" w:hAnsi="Georgia"/>
          <w:color w:val="111827"/>
          <w:sz w:val="22"/>
          <w:szCs w:val="22"/>
        </w:rPr>
        <w:t xml:space="preserve">The procurement policy response has been substantive and ongoing. Government security requirement escalation, BSSN vendor assessment programs, government cloud procurement security criteria, and increased security evaluation weight in tender scoring have all changed the competitive landscape for government ICT procurement: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560"/>
        <w:gridCol w:w="28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Post-PDNS impact</w:t>
            </w:r>
          </w:p>
        </w:tc>
        <w:tc>
          <w:tcPr>
            <w:tcW w:type="dxa" w:w="4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Detail</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certificate value</w:t>
            </w:r>
          </w:p>
        </w:tc>
      </w:tr>
      <w:tr>
        <w:tc>
          <w:tcPr>
            <w:tcW w:type="auto"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Government security requirement escalation</w:t>
            </w:r>
          </w:p>
        </w:tc>
        <w:tc>
          <w:tcPr>
            <w:tcW w:type="auto" w:w="4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The 2024 PDNS (Pusat Data Nasional Sementara) ransomware incident — which disrupted services at over 200 government agencies including immigration, student scholarship, and trade licensing systems — catalyzed a significant escalation in government vendor security requirements. Post-PDNS procurement specifications for ICT systems increasingly include explicit security assessment requirements, and ISO 27001 certification has emerged as the most credible form of third-party security assurance that Indonesian vendors can present.</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certification demonstrates that the vendor has independent, third-party verified security management — precisely the assurance government agencies need after experiencing a supply chain security failure at scale.</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BSSN vendor security assessment program</w:t>
            </w:r>
          </w:p>
        </w:tc>
        <w:tc>
          <w:tcPr>
            <w:tcW w:type="auto" w:w="4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BSSN launched an accelerated vendor security assessment program following the PDNS incident, requiring technology vendors serving government agencies to undergo security assessments. Vendors with ISO 27001 certification from an IAF-member accredited certification body receive recognition in the BSSN assessment process — reducing the assessment burden and timeline.</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surveillance audit reports and the Stage 2 audit report can be submitted as evidence in the BSSN vendor assessment process, reducing duplication of effort and accelerating vendor approval.</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Government cloud procurement security criteria</w:t>
            </w:r>
          </w:p>
        </w:tc>
        <w:tc>
          <w:tcPr>
            <w:tcW w:type="auto" w:w="4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The PDNS incident highlighted risks in government cloud service procurement — specifically where cloud services were engaged without adequate security assessment. Post-PDNS, government cloud procurement specifications explicitly require: ISO 27001 certification for cloud service providers, Indonesian data residency for sensitive government data, and documented incident response procedures with government notification capabilities.</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Cloud service providers and managed service providers with ISO 27001 certificates covering their cloud infrastructure and Indonesian data center operations are strongly positioned for post-PDNS government cloud procurement.</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Increased procurement evaluation weight for security</w:t>
            </w:r>
          </w:p>
        </w:tc>
        <w:tc>
          <w:tcPr>
            <w:tcW w:type="auto" w:w="4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Pre-PDNS, security criteria in government ICT procurement typically carried 10–15% weight in technical evaluation scoring. Post-PDNS, government procurement committees have increased security criteria weight — in some BSSN-advised tenders, security criteria carry 25–30% of the technical evaluation score. ISO 27001 certification directly contributes to these security criteria scores.</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A 25-30% security evaluation weight where ISO 27001 certification can contribute 15–20 points creates a significant competitive advantage for certified vendors over non-certified competitors with otherwise similar technical capabilities.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practical significance for vendors: ISO 27001 certification that was previously a 'nice to have' for government procurement has in many categories become a practical prerequisite. Government agencies that experienced service disruption from the PDNS incident are not willing to accept security risk from technology vendors without third-party verified security assurance. The certificate demonstrates that risk.</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Technical Qualification Criteria by Procurement Category</w:t>
      </w:r>
    </w:p>
    <w:p>
      <w:pPr>
        <w:spacing w:after="80"/>
      </w:pPr>
      <w:r>
        <w:t xml:space="preserve"/>
      </w:r>
    </w:p>
    <w:p>
      <w:pPr>
        <w:spacing w:after="160" w:line="320"/>
        <w:jc w:val="both"/>
      </w:pPr>
      <w:r>
        <w:rPr>
          <w:rFonts w:ascii="Georgia" w:cs="Georgia" w:eastAsia="Georgia" w:hAnsi="Georgia"/>
          <w:color w:val="111827"/>
          <w:sz w:val="22"/>
          <w:szCs w:val="22"/>
        </w:rPr>
        <w:t xml:space="preserve">IS qualification criteria vary by procurement category — the security requirements for procuring a hospital management system are different from those for a cloud infrastructure service. Understanding the typical qualification criteria for the relevant category enables vendors to ensure their ISO 27001 ISMS covers the right systems and can evidence the right controls: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60"/>
        <w:gridCol w:w="2400"/>
        <w:gridCol w:w="2800"/>
        <w:gridCol w:w="2200"/>
      </w:tblGrid>
      <w:tr>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Procurement category</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Typical IS qualification criteria</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ISO 27001 helps</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Differentiator beyond certificate</w:t>
            </w:r>
          </w:p>
        </w:tc>
      </w:tr>
      <w:tr>
        <w:tc>
          <w:tcPr>
            <w:tcW w:type="auto" w:w="196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Core IT systems procurement (ERP, core banking, hospital management)</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pPr>
              <w:pStyle w:val="ListParagraph"/>
              <w:numPr>
                <w:ilvl w:val="0"/>
                <w:numId w:val="2"/>
              </w:numPr>
              <w:spacing w:after="50"/>
            </w:pPr>
            <w:r>
              <w:rPr>
                <w:rFonts w:ascii="Georgia" w:cs="Georgia" w:eastAsia="Georgia" w:hAnsi="Georgia"/>
                <w:color w:val="111827"/>
                <w:sz w:val="16"/>
                <w:szCs w:val="16"/>
              </w:rPr>
              <w:t xml:space="preserve">ISO 27001 certification from KAN/IAF-accredited CB — mandatory or 5+ points in technical score</w:t>
            </w:r>
          </w:p>
          <w:p>
            <w:pPr>
              <w:pStyle w:val="ListParagraph"/>
              <w:numPr>
                <w:ilvl w:val="0"/>
                <w:numId w:val="2"/>
              </w:numPr>
              <w:spacing w:after="50"/>
            </w:pPr>
            <w:r>
              <w:rPr>
                <w:rFonts w:ascii="Georgia" w:cs="Georgia" w:eastAsia="Georgia" w:hAnsi="Georgia"/>
                <w:color w:val="111827"/>
                <w:sz w:val="16"/>
                <w:szCs w:val="16"/>
              </w:rPr>
              <w:t xml:space="preserve">Minimum 3-year ISO 27001 certification history (2 completed surveillance cycles)</w:t>
            </w:r>
          </w:p>
          <w:p>
            <w:pPr>
              <w:pStyle w:val="ListParagraph"/>
              <w:numPr>
                <w:ilvl w:val="0"/>
                <w:numId w:val="2"/>
              </w:numPr>
              <w:spacing w:after="50"/>
            </w:pPr>
            <w:r>
              <w:rPr>
                <w:rFonts w:ascii="Georgia" w:cs="Georgia" w:eastAsia="Georgia" w:hAnsi="Georgia"/>
                <w:color w:val="111827"/>
                <w:sz w:val="16"/>
                <w:szCs w:val="16"/>
              </w:rPr>
              <w:t xml:space="preserve">Incident response capability with documented response time SLAs</w:t>
            </w:r>
          </w:p>
          <w:p>
            <w:pPr>
              <w:pStyle w:val="ListParagraph"/>
              <w:numPr>
                <w:ilvl w:val="0"/>
                <w:numId w:val="2"/>
              </w:numPr>
              <w:spacing w:after="50"/>
            </w:pPr>
            <w:r>
              <w:rPr>
                <w:rFonts w:ascii="Georgia" w:cs="Georgia" w:eastAsia="Georgia" w:hAnsi="Georgia"/>
                <w:color w:val="111827"/>
                <w:sz w:val="16"/>
                <w:szCs w:val="16"/>
              </w:rPr>
              <w:t xml:space="preserve">Data residency in Indonesia for government/sensitive data</w:t>
            </w:r>
          </w:p>
          <w:p>
            <w:pPr>
              <w:pStyle w:val="ListParagraph"/>
              <w:numPr>
                <w:ilvl w:val="0"/>
                <w:numId w:val="2"/>
              </w:numPr>
              <w:spacing w:after="50"/>
            </w:pPr>
            <w:r>
              <w:rPr>
                <w:rFonts w:ascii="Georgia" w:cs="Georgia" w:eastAsia="Georgia" w:hAnsi="Georgia"/>
                <w:color w:val="111827"/>
                <w:sz w:val="16"/>
                <w:szCs w:val="16"/>
              </w:rPr>
              <w:t xml:space="preserve">Third-party penetration testing of the proposed system within last 12 months</w:t>
            </w:r>
          </w:p>
        </w:tc>
        <w:tc>
          <w:tcPr>
            <w:tcW w:type="auto" w:w="28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ISO 27001 certificate directly satisfies the IS certification criterion. Surveillance audit history demonstrates sustained compliance. Internal audit reports and management review minutes evidence operational maturity beyond just holding the certificate.</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Organizations that can demonstrate not just ISO 27001 certification but the quality of their ISMS — active internal audit program, management engagement, improvement record — score significantly higher than organizations that present only the certificate.</w:t>
            </w:r>
          </w:p>
        </w:tc>
      </w:tr>
      <w:tr>
        <w:tc>
          <w:tcPr>
            <w:tcW w:type="auto" w:w="196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Cloud services and managed services</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pPr>
              <w:pStyle w:val="ListParagraph"/>
              <w:numPr>
                <w:ilvl w:val="0"/>
                <w:numId w:val="2"/>
              </w:numPr>
              <w:spacing w:after="50"/>
            </w:pPr>
            <w:r>
              <w:rPr>
                <w:rFonts w:ascii="Georgia" w:cs="Georgia" w:eastAsia="Georgia" w:hAnsi="Georgia"/>
                <w:color w:val="111827"/>
                <w:sz w:val="16"/>
                <w:szCs w:val="16"/>
              </w:rPr>
              <w:t xml:space="preserve">ISO 27001 certification covering cloud operations and data centers — mandatory</w:t>
            </w:r>
          </w:p>
          <w:p>
            <w:pPr>
              <w:pStyle w:val="ListParagraph"/>
              <w:numPr>
                <w:ilvl w:val="0"/>
                <w:numId w:val="2"/>
              </w:numPr>
              <w:spacing w:after="50"/>
            </w:pPr>
            <w:r>
              <w:rPr>
                <w:rFonts w:ascii="Georgia" w:cs="Georgia" w:eastAsia="Georgia" w:hAnsi="Georgia"/>
                <w:color w:val="111827"/>
                <w:sz w:val="16"/>
                <w:szCs w:val="16"/>
              </w:rPr>
              <w:t xml:space="preserve">Indonesian data center operation for sensitive government data</w:t>
            </w:r>
          </w:p>
          <w:p>
            <w:pPr>
              <w:pStyle w:val="ListParagraph"/>
              <w:numPr>
                <w:ilvl w:val="0"/>
                <w:numId w:val="2"/>
              </w:numPr>
              <w:spacing w:after="50"/>
            </w:pPr>
            <w:r>
              <w:rPr>
                <w:rFonts w:ascii="Georgia" w:cs="Georgia" w:eastAsia="Georgia" w:hAnsi="Georgia"/>
                <w:color w:val="111827"/>
                <w:sz w:val="16"/>
                <w:szCs w:val="16"/>
              </w:rPr>
              <w:t xml:space="preserve">99.9% availability SLA with financial penalties</w:t>
            </w:r>
          </w:p>
          <w:p>
            <w:pPr>
              <w:pStyle w:val="ListParagraph"/>
              <w:numPr>
                <w:ilvl w:val="0"/>
                <w:numId w:val="2"/>
              </w:numPr>
              <w:spacing w:after="50"/>
            </w:pPr>
            <w:r>
              <w:rPr>
                <w:rFonts w:ascii="Georgia" w:cs="Georgia" w:eastAsia="Georgia" w:hAnsi="Georgia"/>
                <w:color w:val="111827"/>
                <w:sz w:val="16"/>
                <w:szCs w:val="16"/>
              </w:rPr>
              <w:t xml:space="preserve">SOC 2 Type II report (increasingly requested by sophisticated government agencies)</w:t>
            </w:r>
          </w:p>
          <w:p>
            <w:pPr>
              <w:pStyle w:val="ListParagraph"/>
              <w:numPr>
                <w:ilvl w:val="0"/>
                <w:numId w:val="2"/>
              </w:numPr>
              <w:spacing w:after="50"/>
            </w:pPr>
            <w:r>
              <w:rPr>
                <w:rFonts w:ascii="Georgia" w:cs="Georgia" w:eastAsia="Georgia" w:hAnsi="Georgia"/>
                <w:color w:val="111827"/>
                <w:sz w:val="16"/>
                <w:szCs w:val="16"/>
              </w:rPr>
              <w:t xml:space="preserve">DPA provisions in service contract for any processing of government personal data</w:t>
            </w:r>
          </w:p>
        </w:tc>
        <w:tc>
          <w:tcPr>
            <w:tcW w:type="auto" w:w="28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ISO 27001 certification covering the Jakarta cloud region operation demonstrates that the security management of the Indonesian data processing environment is independently verified. The certificate must cover the specific systems and data center used for government data — not a different region or system.</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Presenting both an ISO 27001 certificate (management system) and a SOC 2 Type II report (operational controls) demonstrates defense-in-depth assurance that sets apart sophisticated cloud service providers.</w:t>
            </w:r>
          </w:p>
        </w:tc>
      </w:tr>
      <w:tr>
        <w:tc>
          <w:tcPr>
            <w:tcW w:type="auto" w:w="196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Security services (SOC, VAPT, MSSP)</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pPr>
              <w:pStyle w:val="ListParagraph"/>
              <w:numPr>
                <w:ilvl w:val="0"/>
                <w:numId w:val="2"/>
              </w:numPr>
              <w:spacing w:after="50"/>
            </w:pPr>
            <w:r>
              <w:rPr>
                <w:rFonts w:ascii="Georgia" w:cs="Georgia" w:eastAsia="Georgia" w:hAnsi="Georgia"/>
                <w:color w:val="111827"/>
                <w:sz w:val="16"/>
                <w:szCs w:val="16"/>
              </w:rPr>
              <w:t xml:space="preserve">ISO 27001 certification — essential for service providers handling client security data</w:t>
            </w:r>
          </w:p>
          <w:p>
            <w:pPr>
              <w:pStyle w:val="ListParagraph"/>
              <w:numPr>
                <w:ilvl w:val="0"/>
                <w:numId w:val="2"/>
              </w:numPr>
              <w:spacing w:after="50"/>
            </w:pPr>
            <w:r>
              <w:rPr>
                <w:rFonts w:ascii="Georgia" w:cs="Georgia" w:eastAsia="Georgia" w:hAnsi="Georgia"/>
                <w:color w:val="111827"/>
                <w:sz w:val="16"/>
                <w:szCs w:val="16"/>
              </w:rPr>
              <w:t xml:space="preserve">Security analyst certification requirements (CISSP, CEH, or equivalent per analyst)</w:t>
            </w:r>
          </w:p>
          <w:p>
            <w:pPr>
              <w:pStyle w:val="ListParagraph"/>
              <w:numPr>
                <w:ilvl w:val="0"/>
                <w:numId w:val="2"/>
              </w:numPr>
              <w:spacing w:after="50"/>
            </w:pPr>
            <w:r>
              <w:rPr>
                <w:rFonts w:ascii="Georgia" w:cs="Georgia" w:eastAsia="Georgia" w:hAnsi="Georgia"/>
                <w:color w:val="111827"/>
                <w:sz w:val="16"/>
                <w:szCs w:val="16"/>
              </w:rPr>
              <w:t xml:space="preserve">Methodology documentation and case studies</w:t>
            </w:r>
          </w:p>
          <w:p>
            <w:pPr>
              <w:pStyle w:val="ListParagraph"/>
              <w:numPr>
                <w:ilvl w:val="0"/>
                <w:numId w:val="2"/>
              </w:numPr>
              <w:spacing w:after="50"/>
            </w:pPr>
            <w:r>
              <w:rPr>
                <w:rFonts w:ascii="Georgia" w:cs="Georgia" w:eastAsia="Georgia" w:hAnsi="Georgia"/>
                <w:color w:val="111827"/>
                <w:sz w:val="16"/>
                <w:szCs w:val="16"/>
              </w:rPr>
              <w:t xml:space="preserve">BSSN recognition/accreditation for government security services</w:t>
            </w:r>
          </w:p>
          <w:p>
            <w:pPr>
              <w:pStyle w:val="ListParagraph"/>
              <w:numPr>
                <w:ilvl w:val="0"/>
                <w:numId w:val="2"/>
              </w:numPr>
              <w:spacing w:after="50"/>
            </w:pPr>
            <w:r>
              <w:rPr>
                <w:rFonts w:ascii="Georgia" w:cs="Georgia" w:eastAsia="Georgia" w:hAnsi="Georgia"/>
                <w:color w:val="111827"/>
                <w:sz w:val="16"/>
                <w:szCs w:val="16"/>
              </w:rPr>
              <w:t xml:space="preserve">Client reference letters from government or regulated sector clients</w:t>
            </w:r>
          </w:p>
        </w:tc>
        <w:tc>
          <w:tcPr>
            <w:tcW w:type="auto" w:w="28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A security service provider without ISO 27001 certification has a fundamental credibility gap — they are advising clients on security management without demonstrating their own. ISO 27001 is the minimum credibility threshold for security service providers in government procurement.</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Security service providers whose ISO 27001 ISMS explicitly covers their client engagement processes (not just internal operations) — including secure client data handling, penetration testing methodology, and findings disclosure procedures — demonstrate a mature, client-focused security program.</w:t>
            </w:r>
          </w:p>
        </w:tc>
      </w:tr>
      <w:tr>
        <w:tc>
          <w:tcPr>
            <w:tcW w:type="auto" w:w="196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Digital government services (e-government, citizen services)</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pPr>
              <w:pStyle w:val="ListParagraph"/>
              <w:numPr>
                <w:ilvl w:val="0"/>
                <w:numId w:val="2"/>
              </w:numPr>
              <w:spacing w:after="50"/>
            </w:pPr>
            <w:r>
              <w:rPr>
                <w:rFonts w:ascii="Georgia" w:cs="Georgia" w:eastAsia="Georgia" w:hAnsi="Georgia"/>
                <w:color w:val="111827"/>
                <w:sz w:val="16"/>
                <w:szCs w:val="16"/>
              </w:rPr>
              <w:t xml:space="preserve">ISO 27001 certification for the service platform and data processing environment</w:t>
            </w:r>
          </w:p>
          <w:p>
            <w:pPr>
              <w:pStyle w:val="ListParagraph"/>
              <w:numPr>
                <w:ilvl w:val="0"/>
                <w:numId w:val="2"/>
              </w:numPr>
              <w:spacing w:after="50"/>
            </w:pPr>
            <w:r>
              <w:rPr>
                <w:rFonts w:ascii="Georgia" w:cs="Georgia" w:eastAsia="Georgia" w:hAnsi="Georgia"/>
                <w:color w:val="111827"/>
                <w:sz w:val="16"/>
                <w:szCs w:val="16"/>
              </w:rPr>
              <w:t xml:space="preserve">UU PDP compliance program documentation (for services handling citizen personal data)</w:t>
            </w:r>
          </w:p>
          <w:p>
            <w:pPr>
              <w:pStyle w:val="ListParagraph"/>
              <w:numPr>
                <w:ilvl w:val="0"/>
                <w:numId w:val="2"/>
              </w:numPr>
              <w:spacing w:after="50"/>
            </w:pPr>
            <w:r>
              <w:rPr>
                <w:rFonts w:ascii="Georgia" w:cs="Georgia" w:eastAsia="Georgia" w:hAnsi="Georgia"/>
                <w:color w:val="111827"/>
                <w:sz w:val="16"/>
                <w:szCs w:val="16"/>
              </w:rPr>
              <w:t xml:space="preserve">Accessibility and availability standards compliance</w:t>
            </w:r>
          </w:p>
          <w:p>
            <w:pPr>
              <w:pStyle w:val="ListParagraph"/>
              <w:numPr>
                <w:ilvl w:val="0"/>
                <w:numId w:val="2"/>
              </w:numPr>
              <w:spacing w:after="50"/>
            </w:pPr>
            <w:r>
              <w:rPr>
                <w:rFonts w:ascii="Georgia" w:cs="Georgia" w:eastAsia="Georgia" w:hAnsi="Georgia"/>
                <w:color w:val="111827"/>
                <w:sz w:val="16"/>
                <w:szCs w:val="16"/>
              </w:rPr>
              <w:t xml:space="preserve">Integration with national digital identity (INA-PASS) security requirements</w:t>
            </w:r>
          </w:p>
          <w:p>
            <w:pPr>
              <w:pStyle w:val="ListParagraph"/>
              <w:numPr>
                <w:ilvl w:val="0"/>
                <w:numId w:val="2"/>
              </w:numPr>
              <w:spacing w:after="50"/>
            </w:pPr>
            <w:r>
              <w:rPr>
                <w:rFonts w:ascii="Georgia" w:cs="Georgia" w:eastAsia="Georgia" w:hAnsi="Georgia"/>
                <w:color w:val="111827"/>
                <w:sz w:val="16"/>
                <w:szCs w:val="16"/>
              </w:rPr>
              <w:t xml:space="preserve">Data sharing agreement framework aligned to government data governance</w:t>
            </w:r>
          </w:p>
        </w:tc>
        <w:tc>
          <w:tcPr>
            <w:tcW w:type="auto" w:w="28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Digital government services handle sensitive citizen data at scale. ISO 27001 demonstrates systematic data protection capability. Combined with UU PDP compliance documentation, it provides comprehensive data governance evidence for government data processing tenders.</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Organizations that present the ISO 27001 ↔ UU PDP mapping from Article 6.1 as part of their proposal demonstrate that their security program explicitly addresses Indonesian data protection law — a compelling combination for citizen data service providers.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certification history advantage: Government evaluators increasingly recognize the difference between a vendor that received ISO 27001 certification last month and a vendor with a three-year certification history including two surveillance audits. The surveillance audit record demonstrates sustained compliance — not just a point-in-time certification achieved for a tender. Vendors who have maintained their ISO 27001 certificate through surveillance audits and can present the audit history as evidence of ongoing security management maturity score significantly higher in government evaluations than first-time certificate holders.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Government Tender Submission: Evidence Package Guide</w:t>
      </w:r>
    </w:p>
    <w:p>
      <w:pPr>
        <w:spacing w:after="80"/>
      </w:pPr>
      <w:r>
        <w:t xml:space="preserve"/>
      </w:r>
    </w:p>
    <w:p>
      <w:pPr>
        <w:spacing w:after="160" w:line="320"/>
        <w:jc w:val="both"/>
      </w:pPr>
      <w:r>
        <w:rPr>
          <w:rFonts w:ascii="Georgia" w:cs="Georgia" w:eastAsia="Georgia" w:hAnsi="Georgia"/>
          <w:color w:val="111827"/>
          <w:sz w:val="22"/>
          <w:szCs w:val="22"/>
        </w:rPr>
        <w:t xml:space="preserve">Presenting ISO 27001 certification effectively in a government tender requires more than attaching the certificate to the bid. Government evaluators — particularly for high-value or security-sensitive contracts — conduct more rigorous evaluation of security credentials than commercial clients. The evidence package structure below maximizes the value of ISO 27001 certification in tender submissions: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1680"/>
        <w:gridCol w:w="3480"/>
        <w:gridCol w:w="1240"/>
        <w:gridCol w:w="120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Tender section</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to include</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to present it</w:t>
            </w:r>
          </w:p>
        </w:tc>
        <w:tc>
          <w:tcPr>
            <w:tcW w:type="dxa" w:w="12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Common mistake</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 to include</w:t>
            </w:r>
          </w:p>
        </w:tc>
      </w:tr>
      <w:tr>
        <w:tc>
          <w:tcPr>
            <w:tcW w:type="auto" w:w="176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Certificate presentation</w:t>
            </w:r>
          </w:p>
        </w:tc>
        <w:tc>
          <w:tcPr>
            <w:tcW w:type="auto" w:w="168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The ISO 27001 certificate itself — the primary qualifying document.</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Submit the full certificate with: organization name, scope statement, issuing CB name, accreditation body logo, initial certification date, and expiry date. Include a verification note: 'This certificate can be verified at [CB registry URL] and at iafcertsearch.org using certificate number [number].'</w:t>
            </w:r>
          </w:p>
        </w:tc>
        <w:tc>
          <w:tcPr>
            <w:tcW w:type="auto" w:w="124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i/>
                <w:iCs/>
                <w:color w:val="991B1B"/>
                <w:sz w:val="14"/>
                <w:szCs w:val="14"/>
              </w:rPr>
              <w:t xml:space="preserve">Submitting an expired certificate or a certificate whose scope does not cover the systems relevant to the tender. Government evaluators who verify certificates and find them expired or scoped differently will downgrade or disqualify the bid.</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Original certificate (PDF). CB verification portal URL and certificate number. Surveillance audit history (dates of most recent surveillance audits demonstrating ongoing compliance).</w:t>
            </w:r>
          </w:p>
        </w:tc>
      </w:tr>
      <w:tr>
        <w:tc>
          <w:tcPr>
            <w:tcW w:type="auto" w:w="176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Scope alignment statement</w:t>
            </w:r>
          </w:p>
        </w:tc>
        <w:tc>
          <w:tcPr>
            <w:tcW w:type="auto" w:w="168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6"/>
                <w:szCs w:val="16"/>
              </w:rPr>
              <w:t xml:space="preserve">A written statement explaining how the ISO 27001 certified scope covers the systems and data relevant to the government contract.</w:t>
            </w:r>
          </w:p>
        </w:tc>
        <w:tc>
          <w:tcPr>
            <w:tcW w:type="auto" w:w="34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Write a one-page scope alignment statement: 'Our ISO 27001 certification covers [system/service name] which is the system proposed for this procurement. The certified scope includes: [specific list of systems matching tender requirements]. The following tender requirements are addressed by our certified ISMS: [list tender IS criteria mapped to ISMS controls].'</w:t>
            </w:r>
          </w:p>
        </w:tc>
        <w:tc>
          <w:tcPr>
            <w:tcW w:type="auto" w:w="124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i/>
                <w:iCs/>
                <w:color w:val="991B1B"/>
                <w:sz w:val="14"/>
                <w:szCs w:val="14"/>
              </w:rPr>
              <w:t xml:space="preserve">Presenting an ISO 27001 certificate without explaining scope alignment — leaving the evaluator to guess whether the certificate covers the relevant systems. Evaluators who cannot verify scope alignment will not award certification points.</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Scope alignment statement. ISMS scope statement (extract relevant to the tender).</w:t>
            </w:r>
          </w:p>
        </w:tc>
      </w:tr>
      <w:tr>
        <w:tc>
          <w:tcPr>
            <w:tcW w:type="auto" w:w="176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Key controls evidence summary</w:t>
            </w:r>
          </w:p>
        </w:tc>
        <w:tc>
          <w:tcPr>
            <w:tcW w:type="auto" w:w="168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A summary of key IS control implementations relevant to the tender, with evidence references.</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Produce a 2–3 page controls evidence summary covering the controls most relevant to the procurement: (1) Access control and MFA — relevant for any system handling government data, (2) Data encryption — relevant for any system storing sensitive citizen or government data, (3) Incident response with government notification capability — relevant for all government tenders, (4) Availability and BCM — relevant for operational government systems, (5) Supplier security (if subcontractors are involved). Each section: what is implemented, evidence type (internal audit report, penetration test report, MFA enrollment report), and availability on request.</w:t>
            </w:r>
          </w:p>
        </w:tc>
        <w:tc>
          <w:tcPr>
            <w:tcW w:type="auto" w:w="124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i/>
                <w:iCs/>
                <w:color w:val="991B1B"/>
                <w:sz w:val="14"/>
                <w:szCs w:val="14"/>
              </w:rPr>
              <w:t xml:space="preserve">Listing controls as capabilities without evidence references. Government evaluators conducting due diligence will request evidence — organizations that cannot produce it quickly will have concerns raised about whether claimed controls are genuinely implemented.</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Controls evidence summary. Most recent internal audit report (extract or summary). Most recent penetration test executive summary. Evidence of MFA deployment. Availability monitoring dashboard extract.</w:t>
            </w:r>
          </w:p>
        </w:tc>
      </w:tr>
      <w:tr>
        <w:tc>
          <w:tcPr>
            <w:tcW w:type="auto" w:w="176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Regulatory compliance alignment</w:t>
            </w:r>
          </w:p>
        </w:tc>
        <w:tc>
          <w:tcPr>
            <w:tcW w:type="auto" w:w="168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111827"/>
                <w:sz w:val="16"/>
                <w:szCs w:val="16"/>
              </w:rPr>
              <w:t xml:space="preserve">Documentation showing how the ISO 27001 ISMS aligns with applicable Indonesian regulations relevant to the tender.</w:t>
            </w:r>
          </w:p>
        </w:tc>
        <w:tc>
          <w:tcPr>
            <w:tcW w:type="auto" w:w="348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For tenders handling citizen personal data: include the UU PDP ↔ ISO 27001 mapping from Article 6.1, demonstrating that the ISMS addresses Art. 35 technical measures. For tenders to BSSN-supervised agencies: include the BSSN SNSIK ↔ ISO 27001 mapping. For financial government agencies: include the POJK alignment summary.</w:t>
            </w:r>
          </w:p>
        </w:tc>
        <w:tc>
          <w:tcPr>
            <w:tcW w:type="auto" w:w="124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i/>
                <w:iCs/>
                <w:color w:val="991B1B"/>
                <w:sz w:val="14"/>
                <w:szCs w:val="14"/>
              </w:rPr>
              <w:t xml:space="preserve">Presenting ISO 27001 certification without connecting it to Indonesian regulatory requirements — missing an opportunity to demonstrate regulatory sophistication and double the value of the certificate in the evaluator's eyes.</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Regulatory compliance summary document. UU PDP compliance attestation (if applicable). BSSN framework alignment mapping (if applicable).</w:t>
            </w:r>
          </w:p>
        </w:tc>
      </w:tr>
      <w:tr>
        <w:tc>
          <w:tcPr>
            <w:tcW w:type="auto" w:w="176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7"/>
                <w:szCs w:val="17"/>
              </w:rPr>
              <w:t xml:space="preserve">Incident response and government notification capability</w:t>
            </w:r>
          </w:p>
        </w:tc>
        <w:tc>
          <w:tcPr>
            <w:tcW w:type="auto" w:w="168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6"/>
                <w:szCs w:val="16"/>
              </w:rPr>
              <w:t xml:space="preserve">Evidence that the vendor has an operational incident response procedure that can notify government clients and authorities within required timelines.</w:t>
            </w:r>
          </w:p>
        </w:tc>
        <w:tc>
          <w:tcPr>
            <w:tcW w:type="auto" w:w="348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Include a one-page incident response capability statement: 'Our incident response procedure includes notification to government clients within [X hours] of incident classification, and to applicable regulatory authorities within their required timelines (BSSN 24 hours for critical infrastructure incidents, KOMINFO 14 days for personal data breaches). Our incident register demonstrates [N] incidents managed in the past 12 months with [X%] SLA compliance.' Show the process without revealing security-sensitive operational details.</w:t>
            </w:r>
          </w:p>
        </w:tc>
        <w:tc>
          <w:tcPr>
            <w:tcW w:type="auto" w:w="1240"/>
            <w:tcBorders>
              <w:top w:val="single" w:color="DBEAFE" w:sz="1"/>
              <w:left w:val="single" w:color="DBEAFE" w:sz="1"/>
              <w:bottom w:val="single" w:color="DBEAFE" w:sz="1"/>
              <w:right w:val="single" w:color="DBEAFE" w:sz="1"/>
            </w:tcBorders>
            <w:shd w:fill="FEF2F2" w:val="clear"/>
            <w:tcMar>
              <w:top w:type="dxa" w:w="110"/>
              <w:left w:type="dxa" w:w="90"/>
              <w:bottom w:type="dxa" w:w="110"/>
              <w:right w:type="dxa" w:w="90"/>
            </w:tcMar>
          </w:tcPr>
          <w:p>
            <w:r>
              <w:rPr>
                <w:rFonts w:ascii="Georgia" w:cs="Georgia" w:eastAsia="Georgia" w:hAnsi="Georgia"/>
                <w:i/>
                <w:iCs/>
                <w:color w:val="991B1B"/>
                <w:sz w:val="14"/>
                <w:szCs w:val="14"/>
              </w:rPr>
              <w:t xml:space="preserve">Not addressing incident response capability at all, or claiming a capability without any evidence of it being tested or operational.</w:t>
            </w:r>
          </w:p>
        </w:tc>
        <w:tc>
          <w:tcPr>
            <w:tcW w:type="auto" w:w="1200"/>
            <w:tcBorders>
              <w:top w:val="single" w:color="DBEAFE" w:sz="1"/>
              <w:left w:val="single" w:color="DBEAFE" w:sz="1"/>
              <w:bottom w:val="single" w:color="DBEAFE" w:sz="1"/>
              <w:right w:val="single" w:color="DBEAFE" w:sz="1"/>
            </w:tcBorders>
            <w:shd w:fill="ECFDF5" w:val="clear"/>
            <w:tcMar>
              <w:top w:type="dxa" w:w="110"/>
              <w:left w:type="dxa" w:w="90"/>
              <w:bottom w:type="dxa" w:w="110"/>
              <w:right w:type="dxa" w:w="90"/>
            </w:tcMar>
          </w:tcPr>
          <w:p>
            <w:r>
              <w:rPr>
                <w:rFonts w:ascii="Georgia" w:cs="Georgia" w:eastAsia="Georgia" w:hAnsi="Georgia"/>
                <w:i/>
                <w:iCs/>
                <w:color w:val="065F46"/>
                <w:sz w:val="14"/>
                <w:szCs w:val="14"/>
              </w:rPr>
              <w:t xml:space="preserve">Incident response capability statement. Tabletop exercise records. Incident register summary (redacted for sensitive details).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Certificate verification is routine: Government procurement evaluators who encounter ISO 27001 certificates regularly verify them — checking the CB registry and IAF CertSearch. A certificate that does not appear in the registry, is expired, or whose scope statement does not match the system description in the tender proposal will generate a disqualification or clarification request. Before submitting any government tender: verify the certificate independently using the same methods an evaluator would use. If verification reveals a discrepancy (scope statement differs from what the tender requires, surveillance audit overdue, certificate not in registry), address it before submission.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Government Data Handling Requirements</w:t>
      </w:r>
    </w:p>
    <w:p>
      <w:pPr>
        <w:spacing w:after="80"/>
      </w:pPr>
      <w:r>
        <w:t xml:space="preserve"/>
      </w:r>
    </w:p>
    <w:p>
      <w:pPr>
        <w:spacing w:after="160" w:line="320"/>
        <w:jc w:val="both"/>
      </w:pPr>
      <w:r>
        <w:rPr>
          <w:rFonts w:ascii="Georgia" w:cs="Georgia" w:eastAsia="Georgia" w:hAnsi="Georgia"/>
          <w:color w:val="111827"/>
          <w:sz w:val="22"/>
          <w:szCs w:val="22"/>
        </w:rPr>
        <w:t xml:space="preserve">Beyond the security qualification criteria, government contracts impose specific data handling requirements that the ISMS must be designed to address. Four requirements are consistently present in Indonesian government ICT contracts: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2680"/>
        <w:gridCol w:w="1680"/>
        <w:gridCol w:w="16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Government data requirement</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Regulation</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is required</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control</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Action</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Government data classification</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Perpres 39/2019 on Open Government Data; PP 71/2019 on Electronic Systems and Transactions; Ministry regulations on government data classification</w:t>
            </w:r>
          </w:p>
        </w:tc>
        <w:tc>
          <w:tcPr>
            <w:tcW w:type="auto" w:w="26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Government data is classified under a national classification framework: Terbuka (Open/Public), Terbatas (Limited/Internal), Rahasia (Confidential), and Sangat Rahasia (Top Secret — classified). Vendors handling government data must implement security controls commensurate with the classification level.</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B3A5C"/>
                <w:sz w:val="16"/>
                <w:szCs w:val="16"/>
              </w:rPr>
              <w:t xml:space="preserve">5.12 Information classification — the vendor's classification scheme must accommodate government classification levels. When handling Rahasia or Sangat Rahasia data: security measures must exceed standard ISO 27001 implementation and may require additional government security framework compliance.</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Map government data classification levels to the vendor's classification scheme. Ensure that Rahasia and Sangat Rahasia data handling is explicitly covered in the ISMS scope and SoA. Include government data handling requirements as a specific risk in the risk register.</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Indonesian data residency for government data</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Perpres 95/2018 on e-government system; SPBE regulations on government cloud; Ministry of Communication and IT cloud regulations</w:t>
            </w:r>
          </w:p>
        </w:tc>
        <w:tc>
          <w:tcPr>
            <w:tcW w:type="auto" w:w="26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Government electronic systems (SPBE — Sistem Pemerintahan Berbasis Elektronik) must use Indonesian data centers for government data. Cloud services for government systems must be hosted in Indonesian territory. Foreign cloud providers must operate Indonesian data centers.</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B3A5C"/>
                <w:sz w:val="16"/>
                <w:szCs w:val="16"/>
              </w:rPr>
              <w:t xml:space="preserve">5.14 Information transfer — cross-border transfer restrictions apply; supplier agreements must specify Indonesian data residency. Physical controls scope: government data must be processed in verified Indonesian facilities.</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Verify that all systems proposed for government data processing are hosted in Indonesian data centers. Document data residency architecture as part of the ISMS scope statement. Include data residency certification (cloud region configuration) in tender submission.</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Government data incident notification</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BSSN Presidential Regulation 82/2022 (if critical infrastructure); KOMINFO UU PDP Art. 46 (if personal data); specific K/L SLA requirements in service contracts</w:t>
            </w:r>
          </w:p>
        </w:tc>
        <w:tc>
          <w:tcPr>
            <w:tcW w:type="auto" w:w="26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Government contracts typically include incident notification SLAs: notification to the contracting agency within 2–4 hours of any incident affecting the contracted service. Additionally: BSSN notification (24 hours for critical infrastructure incidents), KOMINFO (14 days for personal data breaches).</w:t>
            </w:r>
          </w:p>
        </w:tc>
        <w:tc>
          <w:tcPr>
            <w:tcW w:type="auto" w:w="16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B3A5C"/>
                <w:sz w:val="16"/>
                <w:szCs w:val="16"/>
              </w:rPr>
              <w:t xml:space="preserve">5.26 Incident response with government client notification. Incident response procedure must include client notification step with contractual SLA. Government notification SLAs must be documented and tested.</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Include government client notification SLA in the ISMS incident response procedure. Add the specific government agency contact as a required notification recipient. Test government notification capability in tabletop exercises.</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Audit rights and examination access</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Standard government procurement contract terms (Syarat dan Ketentuan Umum/SSKK); LKPP standard procurement documentation</w:t>
            </w:r>
          </w:p>
        </w:tc>
        <w:tc>
          <w:tcPr>
            <w:tcW w:type="auto" w:w="26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Government contracts typically include audit rights — the right for the government agency, BSSN, or BPK (audit board) to audit the vendor's security and compliance posture. Vendors must accommodate audit access without restriction.</w:t>
            </w:r>
          </w:p>
        </w:tc>
        <w:tc>
          <w:tcPr>
            <w:tcW w:type="auto" w:w="16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B3A5C"/>
                <w:sz w:val="16"/>
                <w:szCs w:val="16"/>
              </w:rPr>
              <w:t xml:space="preserve">5.35 Independent review of information security — the ISMS supports a culture of independent review. ISO 27001 surveillance audit reports are primary evidence of ongoing security management that can be shared with government auditors.</w:t>
            </w:r>
          </w:p>
        </w:tc>
        <w:tc>
          <w:tcPr>
            <w:tcW w:type="auto" w:w="16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Ensure the ISMS evidence library is organized for rapid audit access. Prepare an audit response package: ISO 27001 certificate, most recent internal audit report, most recent external audit (Stage 2 or surveillance) report. Include a clear audit accommodation statement in the tender submission.</w:t>
            </w:r>
          </w:p>
        </w:tc>
      </w:tr>
    </w:tbl>
    <w:p>
      <w:pPr>
        <w:spacing w:after="160"/>
      </w:pPr>
      <w:r>
        <w:t xml:space="preserve"/>
      </w:r>
    </w:p>
    <w:p>
      <w:pPr>
        <w:spacing w:after="160" w:line="320"/>
        <w:jc w:val="both"/>
      </w:pPr>
      <w:r>
        <w:rPr>
          <w:rFonts w:ascii="Georgia" w:cs="Georgia" w:eastAsia="Georgia" w:hAnsi="Georgia"/>
          <w:color w:val="111827"/>
          <w:sz w:val="22"/>
          <w:szCs w:val="22"/>
        </w:rPr>
        <w:t xml:space="preserve">The government data residency requirement is the most commonly missed by international and cloud-native vendors. A vendor that stores or processes government data in Singapore (default AWS and GCP region) is not compliant with Indonesian government SPBE (electronic government system) requirements, regardless of ISO 27001 certification. Before submitting any tender involving government data processing, verify and document the Indonesian data residency architecture.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TKDN: The Domestic Content Dimension</w:t>
      </w:r>
    </w:p>
    <w:p>
      <w:pPr>
        <w:spacing w:after="80"/>
      </w:pPr>
      <w:r>
        <w:t xml:space="preserve"/>
      </w:r>
    </w:p>
    <w:p>
      <w:pPr>
        <w:spacing w:after="160" w:line="320"/>
        <w:jc w:val="both"/>
      </w:pPr>
      <w:r>
        <w:rPr>
          <w:rFonts w:ascii="Georgia" w:cs="Georgia" w:eastAsia="Georgia" w:hAnsi="Georgia"/>
          <w:color w:val="111827"/>
          <w:sz w:val="22"/>
          <w:szCs w:val="22"/>
        </w:rPr>
        <w:t xml:space="preserve">Indonesian government procurement has a domestic content dimension — the TKDN (Tingkat Komponen Dalam Negeri) framework — that runs alongside security qualifications. Understanding TKDN and how it interacts with ISO 27001 prevents the common mistake of winning on security credentials while losing on domestic content requirements: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5160"/>
        <w:gridCol w:w="22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TKDN aspect</w:t>
            </w:r>
          </w:p>
        </w:tc>
        <w:tc>
          <w:tcPr>
            <w:tcW w:type="dxa" w:w="5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Requirement and context</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connection</w:t>
            </w:r>
          </w:p>
        </w:tc>
      </w:tr>
      <w:tr>
        <w:tc>
          <w:tcPr>
            <w:tcW w:type="auto" w:w="20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What TKDN is</w:t>
            </w:r>
          </w:p>
        </w:tc>
        <w:tc>
          <w:tcPr>
            <w:tcW w:type="auto" w:w="5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TKDN (Tingkat Komponen Dalam Negeri — Domestic Component Level) is Indonesia's domestic content requirement for government procurement. Products and services must meet minimum TKDN percentages to qualify for government procurement under Perpres 12/2021 on Government Procurement. ICT hardware: minimum 40% TKDN. Software: minimum 40% TKDN. Combined: minimum 25% TKDN.</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certification itself does not address TKDN requirements — it is a management system standard, not a product origin standard. However, TKDN compliance for software products (TKDN for the security management platform, the ISMS tooling, and the service delivery) is a separate qualification criterion that runs alongside ISO 27001.</w:t>
            </w:r>
          </w:p>
        </w:tc>
      </w:tr>
      <w:tr>
        <w:tc>
          <w:tcPr>
            <w:tcW w:type="auto" w:w="20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TKDN for security software and services</w:t>
            </w:r>
          </w:p>
        </w:tc>
        <w:tc>
          <w:tcPr>
            <w:tcW w:type="auto" w:w="51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Indonesian security software (SIEM, GRC platforms, vulnerability scanners) that are registered with BPKM (Investment Coordinating Board) with TKDN certification above 40% receive preferential treatment in government procurement. Foreign security software may be procured but at a price adjustment. Security services (VAPT, SOC, MSSP) have TKDN requirements for the Indonesian component of service delivery — locally employed security analysts contribute to TKDN percentage.</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certification of the security service provider (including the ISMS that governs their Indonesian service delivery) is a security quality credential that complements TKDN compliance as a domestic service provider qualification.</w:t>
            </w:r>
          </w:p>
        </w:tc>
      </w:tr>
      <w:tr>
        <w:tc>
          <w:tcPr>
            <w:tcW w:type="auto" w:w="20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Bitlion and TKDN</w:t>
            </w:r>
          </w:p>
        </w:tc>
        <w:tc>
          <w:tcPr>
            <w:tcW w:type="auto" w:w="5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As an Indonesian-built GRC platform, Bitlion qualifies as a domestic software product under TKDN framework — 100% developed and operated in Indonesia. Indonesian government procurement of GRC and compliance management software that includes Bitlion benefits from TKDN compliance alongside ISO 27001 certification. The combination of Indonesian-origin software and ISO 27001 certification of the development and operations provides a compelling value proposition for government clients with TKDN requirements.</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Bitlion's own ISO 27001 certification (or implementation toward certification) directly benefits government clients who need a TKDN-compliant, security-certified GRC platform for their compliance programs.</w:t>
            </w:r>
          </w:p>
        </w:tc>
      </w:tr>
      <w:tr>
        <w:tc>
          <w:tcPr>
            <w:tcW w:type="auto" w:w="20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Navigating TKDN in security procurement</w:t>
            </w:r>
          </w:p>
        </w:tc>
        <w:tc>
          <w:tcPr>
            <w:tcW w:type="auto" w:w="51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Government procurement of ICT security services from Indonesian vendors requires TKDN compliance certification from BPKM. For technology vendors pursuing government contracts: (1) Register products/services with BPKM for TKDN assessment, (2) Achieve minimum 40% TKDN for software or 25% for combined hardware-software, (3) Include TKDN certification alongside ISO 27001 certificate in tender submissions. TKDN and ISO 27001 are complementary qualifications for government ICT procurement.</w:t>
            </w:r>
          </w:p>
        </w:tc>
        <w:tc>
          <w:tcPr>
            <w:tcW w:type="auto" w:w="2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ISO 27001 addresses the security management quality dimension; TKDN addresses the domestic content dimension. Government evaluators consider both — a TKDN-compliant but insecure vendor is undesirable; a secure but non-TKDN-compliant vendor may be disqualified or price-penalized.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The Indonesian vendor advantage: Indonesian technology and security service companies have a structural competitive advantage in government procurement that international vendors cannot replicate: TKDN compliance is much easier to achieve with an Indonesian-built and operated platform or service. An Indonesian GRC platform like Bitlion, combined with ISO 27001 certification of the development and operations, creates a value proposition that satisfies both security qualification criteria (ISO 27001) and domestic content requirements (TKDN) simultaneously — which international platforms and service providers cannot match without significant Indonesian localization investment.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Building the Government Market Strategy</w:t>
      </w:r>
    </w:p>
    <w:p>
      <w:pPr>
        <w:spacing w:after="80"/>
      </w:pPr>
      <w:r>
        <w:t xml:space="preserve"/>
      </w:r>
    </w:p>
    <w:p>
      <w:pPr>
        <w:pStyle w:val="Heading3"/>
        <w:spacing w:before="280" w:after="120"/>
      </w:pPr>
      <w:r>
        <w:rPr>
          <w:rFonts w:ascii="Arial" w:cs="Arial" w:eastAsia="Arial" w:hAnsi="Arial"/>
          <w:b/>
          <w:bCs/>
          <w:color w:val="2563A8"/>
          <w:sz w:val="24"/>
          <w:szCs w:val="24"/>
        </w:rPr>
        <w:t xml:space="preserve">Security certification as a business development asset</w:t>
      </w:r>
    </w:p>
    <w:p>
      <w:pPr>
        <w:spacing w:after="80"/>
      </w:pPr>
      <w:r>
        <w:t xml:space="preserve"/>
      </w:r>
    </w:p>
    <w:p>
      <w:pPr>
        <w:spacing w:after="160" w:line="320"/>
        <w:jc w:val="both"/>
      </w:pPr>
      <w:r>
        <w:rPr>
          <w:rFonts w:ascii="Georgia" w:cs="Georgia" w:eastAsia="Georgia" w:hAnsi="Georgia"/>
          <w:color w:val="111827"/>
          <w:sz w:val="22"/>
          <w:szCs w:val="22"/>
        </w:rPr>
        <w:t xml:space="preserve">The most effective government market strategy for technology vendors in 2026 treats ISO 27001 certification as a business development asset, not just a compliance requirement. This means: proactively presenting the certificate in capability presentations to government procurement decision-makers before tenders are released, including the certificate prominently in vendor registration portals and SIKAP profiles, and using the certificate's independent third-party verification as the foundation of trust-building conversations with government technology directors.</w:t>
      </w:r>
    </w:p>
    <w:p>
      <w:pPr>
        <w:spacing w:after="80"/>
      </w:pPr>
      <w:r>
        <w:t xml:space="preserve"/>
      </w:r>
    </w:p>
    <w:p>
      <w:pPr>
        <w:spacing w:after="160" w:line="320"/>
        <w:jc w:val="both"/>
      </w:pPr>
      <w:r>
        <w:rPr>
          <w:rFonts w:ascii="Georgia" w:cs="Georgia" w:eastAsia="Georgia" w:hAnsi="Georgia"/>
          <w:color w:val="111827"/>
          <w:sz w:val="22"/>
          <w:szCs w:val="22"/>
        </w:rPr>
        <w:t xml:space="preserve">Government technology directors who have experienced security incidents — or who are accountable to ministers for preventing them — make risk-informed vendor selection decisions. ISO 27001 certification is the most credible answer to the question every government technology director is now asking: 'How do we know your security management is real, not claimed?' The certificate says: 'An accredited, independent auditor verified it.'</w:t>
      </w:r>
    </w:p>
    <w:p>
      <w:pPr>
        <w:spacing w:after="80"/>
      </w:pPr>
      <w:r>
        <w:t xml:space="preserve"/>
      </w:r>
    </w:p>
    <w:p>
      <w:pPr>
        <w:pStyle w:val="Heading3"/>
        <w:spacing w:before="280" w:after="120"/>
      </w:pPr>
      <w:r>
        <w:rPr>
          <w:rFonts w:ascii="Arial" w:cs="Arial" w:eastAsia="Arial" w:hAnsi="Arial"/>
          <w:b/>
          <w:bCs/>
          <w:color w:val="2563A8"/>
          <w:sz w:val="24"/>
          <w:szCs w:val="24"/>
        </w:rPr>
        <w:t xml:space="preserve">Pipeline development: tendering before certification</w:t>
      </w:r>
    </w:p>
    <w:p>
      <w:pPr>
        <w:spacing w:after="80"/>
      </w:pPr>
      <w:r>
        <w:t xml:space="preserve"/>
      </w:r>
    </w:p>
    <w:p>
      <w:pPr>
        <w:spacing w:after="160" w:line="320"/>
        <w:jc w:val="both"/>
      </w:pPr>
      <w:r>
        <w:rPr>
          <w:rFonts w:ascii="Georgia" w:cs="Georgia" w:eastAsia="Georgia" w:hAnsi="Georgia"/>
          <w:color w:val="111827"/>
          <w:sz w:val="22"/>
          <w:szCs w:val="22"/>
        </w:rPr>
        <w:t xml:space="preserve">Organizations targeting government procurement should begin the ISO 27001 implementation process before submitting to tenders that require certification. The typical government procurement tender-to-award timeline (90–180 days) can run parallel to ISO 27001 implementation — with certification targeted to be complete before contract start date, not before tender submission. Many tender specifications accept 'certification in progress with target date' alongside a certification timeline commitment. Document the implementation plan, current stage, target certification body, and expected certification date in the tender submission.</w:t>
      </w:r>
    </w:p>
    <w:p>
      <w:pPr>
        <w:spacing w:after="80"/>
      </w:pPr>
      <w:r>
        <w:t xml:space="preserve"/>
      </w:r>
    </w:p>
    <w:p>
      <w:pPr>
        <w:pStyle w:val="Heading3"/>
        <w:spacing w:before="280" w:after="120"/>
      </w:pPr>
      <w:r>
        <w:rPr>
          <w:rFonts w:ascii="Arial" w:cs="Arial" w:eastAsia="Arial" w:hAnsi="Arial"/>
          <w:b/>
          <w:bCs/>
          <w:color w:val="2563A8"/>
          <w:sz w:val="24"/>
          <w:szCs w:val="24"/>
        </w:rPr>
        <w:t xml:space="preserve">Sector concentration strategy</w:t>
      </w:r>
    </w:p>
    <w:p>
      <w:pPr>
        <w:spacing w:after="80"/>
      </w:pPr>
      <w:r>
        <w:t xml:space="preserve"/>
      </w:r>
    </w:p>
    <w:p>
      <w:pPr>
        <w:spacing w:after="160" w:line="320"/>
        <w:jc w:val="both"/>
      </w:pPr>
      <w:r>
        <w:rPr>
          <w:rFonts w:ascii="Georgia" w:cs="Georgia" w:eastAsia="Georgia" w:hAnsi="Georgia"/>
          <w:color w:val="111827"/>
          <w:sz w:val="22"/>
          <w:szCs w:val="22"/>
        </w:rPr>
        <w:t xml:space="preserve">Government procurement is large and diverse — no vendor can compete in all categories. The most effective market strategy concentrates ISO 27001 investment in the sectors where the security credential has the highest procurement value: financial government agencies (Kemenkeu, OJK, BI, BPJS) where IT security is a core regulatory concern; health and social services (Kemenkes, BPJS Kesehatan, RSUD) where patient data protection creates strong security demand; and digital government transformation (Kominfo, BSSN, digital service agencies) where cybersecurity maturity is directly relevant to the mission.</w:t>
      </w:r>
    </w:p>
    <w:p>
      <w:pPr>
        <w:spacing w:after="200"/>
      </w:pPr>
      <w:r>
        <w:t xml:space="preserve"/>
      </w:r>
    </w:p>
    <w:p>
      <w:pPr>
        <w:pBdr>
          <w:top w:val="single" w:color="0E9F6E" w:sz="4" w:space="4"/>
        </w:pBdr>
        <w:spacing w:before="200" w:after="200"/>
      </w:pPr>
      <w:r>
        <w:t xml:space="preserve"/>
      </w:r>
    </w:p>
    <w:p>
      <w:pPr>
        <w:spacing w:after="80"/>
      </w:pPr>
      <w:r>
        <w:rPr>
          <w:rFonts w:ascii="Arial" w:cs="Arial" w:eastAsia="Arial" w:hAnsi="Arial"/>
          <w:b/>
          <w:bCs/>
          <w:caps/>
          <w:color w:val="0E9F6E"/>
          <w:sz w:val="20"/>
          <w:szCs w:val="20"/>
        </w:rPr>
        <w:t xml:space="preserve">SECTION 6 COMPLETE</w:t>
      </w:r>
    </w:p>
    <w:p>
      <w:pPr>
        <w:spacing w:after="80"/>
      </w:pPr>
      <w:r>
        <w:rPr>
          <w:rFonts w:ascii="Georgia" w:cs="Georgia" w:eastAsia="Georgia" w:hAnsi="Georgia"/>
          <w:color w:val="4B5563"/>
          <w:sz w:val="21"/>
          <w:szCs w:val="21"/>
        </w:rPr>
        <w:t xml:space="preserve">Section 6 — ISO 27001 in the Indonesian Regulatory Context covers the complete Indonesian compliance landscape: UU PDP personal data protection (6.1), POJK and OJK financial services (6.2), Bank Indonesia payment systems (6.3), fintech and financial services implementation (6.4), healthcare and critical infrastructure (6.5), unified multi-regulation ISMS architecture (6.6), and government procurement (6.7). Together these seven articles provide the most comprehensive Indonesian regulatory alignment guide for ISO 27001 practitioners available in 2026.</w:t>
      </w:r>
    </w:p>
    <w:p>
      <w:pPr>
        <w:spacing w:after="100"/>
      </w:pPr>
      <w:r>
        <w:t xml:space="preserve"/>
      </w:r>
    </w:p>
    <w:p>
      <w:pPr>
        <w:spacing w:after="80"/>
      </w:pPr>
      <w:r>
        <w:rPr>
          <w:rFonts w:ascii="Arial" w:cs="Arial" w:eastAsia="Arial" w:hAnsi="Arial"/>
          <w:b/>
          <w:bCs/>
          <w:caps/>
          <w:color w:val="1B3A5C"/>
          <w:sz w:val="20"/>
          <w:szCs w:val="20"/>
        </w:rPr>
        <w:t xml:space="preserve">DOCUMENTATION SERIES COMPLETE</w:t>
      </w:r>
    </w:p>
    <w:p>
      <w:pPr>
        <w:spacing w:after="80"/>
      </w:pPr>
      <w:r>
        <w:rPr>
          <w:rFonts w:ascii="Georgia" w:cs="Georgia" w:eastAsia="Georgia" w:hAnsi="Georgia"/>
          <w:color w:val="4B5563"/>
          <w:sz w:val="21"/>
          <w:szCs w:val="21"/>
        </w:rPr>
        <w:t xml:space="preserve">The Bitlion ISO 27001 ISMS Documentation Library — 43 articles across 6 sections — is now complete. This documentation series covers the full ISO 27001 lifecycle for Indonesian organizations: foundational knowledge (Sections 1–2), implementation process (Sections 3–4), Annex A controls (Section 5), and the Indonesian regulatory context (Section 6). For implementation support, certification consulting, or GRC platform access, visit bitlion.ai.</w:t>
      </w:r>
    </w:p>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2026-03-28T22:20:57.179Z</dcterms:created>
  <dcterms:modified xsi:type="dcterms:W3CDTF">2026-03-28T22:20:57.180Z</dcterms:modified>
</cp:coreProperties>
</file>

<file path=docProps/custom.xml><?xml version="1.0" encoding="utf-8"?>
<Properties xmlns="http://schemas.openxmlformats.org/officeDocument/2006/custom-properties" xmlns:vt="http://schemas.openxmlformats.org/officeDocument/2006/docPropsVTypes"/>
</file>